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BB8D9" w14:textId="07193C8D" w:rsidR="007C6DB6" w:rsidRDefault="007C6DB6" w:rsidP="007C6DB6">
      <w:pPr>
        <w:pStyle w:val="CRCoverPage"/>
        <w:tabs>
          <w:tab w:val="right" w:pos="9639"/>
        </w:tabs>
        <w:spacing w:after="0"/>
        <w:rPr>
          <w:b/>
          <w:i/>
          <w:noProof/>
          <w:sz w:val="28"/>
          <w:lang w:eastAsia="zh-CN"/>
        </w:rPr>
      </w:pPr>
      <w:bookmarkStart w:id="0" w:name="_Ref399006623"/>
      <w:bookmarkStart w:id="1" w:name="_Toc92513360"/>
      <w:r>
        <w:rPr>
          <w:b/>
          <w:noProof/>
          <w:sz w:val="24"/>
        </w:rPr>
        <w:t>3GPP TSG-RAN WG4 Meeting #</w:t>
      </w:r>
      <w:r>
        <w:rPr>
          <w:rFonts w:hint="eastAsia"/>
          <w:b/>
          <w:noProof/>
          <w:sz w:val="24"/>
          <w:lang w:eastAsia="zh-CN"/>
        </w:rPr>
        <w:t>80</w:t>
      </w:r>
      <w:r>
        <w:rPr>
          <w:b/>
          <w:noProof/>
          <w:sz w:val="24"/>
          <w:lang w:eastAsia="zh-CN"/>
        </w:rPr>
        <w:t>bis</w:t>
      </w:r>
      <w:r>
        <w:rPr>
          <w:b/>
          <w:i/>
          <w:noProof/>
          <w:sz w:val="24"/>
        </w:rPr>
        <w:t xml:space="preserve"> </w:t>
      </w:r>
      <w:r>
        <w:rPr>
          <w:b/>
          <w:i/>
          <w:noProof/>
          <w:sz w:val="28"/>
        </w:rPr>
        <w:tab/>
      </w:r>
      <w:r w:rsidRPr="00324313">
        <w:rPr>
          <w:b/>
          <w:noProof/>
          <w:sz w:val="24"/>
          <w:lang w:eastAsia="zh-CN"/>
        </w:rPr>
        <w:t>R4-16</w:t>
      </w:r>
      <w:r>
        <w:rPr>
          <w:b/>
          <w:noProof/>
          <w:sz w:val="24"/>
          <w:lang w:eastAsia="zh-CN"/>
        </w:rPr>
        <w:t>7947</w:t>
      </w:r>
    </w:p>
    <w:p w14:paraId="284F2CDB" w14:textId="169D3BA5" w:rsidR="007C6DB6" w:rsidRDefault="007C6DB6" w:rsidP="007C6DB6">
      <w:pPr>
        <w:pStyle w:val="a"/>
        <w:rPr>
          <w:rFonts w:eastAsia="SimSun"/>
          <w:bCs w:val="0"/>
          <w:sz w:val="24"/>
          <w:lang w:eastAsia="zh-CN"/>
        </w:rPr>
      </w:pPr>
      <w:r>
        <w:rPr>
          <w:rFonts w:eastAsia="SimSun"/>
          <w:bCs w:val="0"/>
          <w:sz w:val="24"/>
          <w:lang w:eastAsia="zh-CN"/>
        </w:rPr>
        <w:t>Ljubljana</w:t>
      </w:r>
      <w:r w:rsidRPr="0042171F">
        <w:rPr>
          <w:rFonts w:eastAsia="SimSun"/>
          <w:bCs w:val="0"/>
          <w:sz w:val="24"/>
          <w:lang w:eastAsia="zh-CN"/>
        </w:rPr>
        <w:t xml:space="preserve">, </w:t>
      </w:r>
      <w:r>
        <w:rPr>
          <w:rFonts w:eastAsia="SimSun" w:hint="eastAsia"/>
          <w:bCs w:val="0"/>
          <w:sz w:val="24"/>
          <w:lang w:eastAsia="zh-CN"/>
        </w:rPr>
        <w:t>S</w:t>
      </w:r>
      <w:r>
        <w:rPr>
          <w:rFonts w:eastAsia="SimSun"/>
          <w:bCs w:val="0"/>
          <w:sz w:val="24"/>
          <w:lang w:eastAsia="zh-CN"/>
        </w:rPr>
        <w:t>lovenia</w:t>
      </w:r>
      <w:r w:rsidRPr="0042171F">
        <w:rPr>
          <w:rFonts w:eastAsia="SimSun"/>
          <w:bCs w:val="0"/>
          <w:sz w:val="24"/>
          <w:lang w:eastAsia="zh-CN"/>
        </w:rPr>
        <w:t xml:space="preserve">, </w:t>
      </w:r>
      <w:r>
        <w:rPr>
          <w:rFonts w:eastAsia="SimSun"/>
          <w:bCs w:val="0"/>
          <w:sz w:val="24"/>
          <w:lang w:eastAsia="zh-CN"/>
        </w:rPr>
        <w:t>10</w:t>
      </w:r>
      <w:r w:rsidRPr="007C6DB6">
        <w:rPr>
          <w:rFonts w:eastAsia="SimSun"/>
          <w:bCs w:val="0"/>
          <w:sz w:val="24"/>
          <w:vertAlign w:val="superscript"/>
          <w:lang w:eastAsia="zh-CN"/>
        </w:rPr>
        <w:t>th</w:t>
      </w:r>
      <w:r>
        <w:rPr>
          <w:rFonts w:eastAsia="SimSun" w:hint="eastAsia"/>
          <w:bCs w:val="0"/>
          <w:sz w:val="24"/>
          <w:lang w:eastAsia="zh-CN"/>
        </w:rPr>
        <w:t xml:space="preserve"> </w:t>
      </w:r>
      <w:r>
        <w:rPr>
          <w:rFonts w:eastAsia="SimSun"/>
          <w:bCs w:val="0"/>
          <w:sz w:val="24"/>
          <w:lang w:eastAsia="zh-CN"/>
        </w:rPr>
        <w:t>– 14</w:t>
      </w:r>
      <w:r w:rsidRPr="007C6DB6">
        <w:rPr>
          <w:rFonts w:eastAsia="SimSun"/>
          <w:bCs w:val="0"/>
          <w:sz w:val="24"/>
          <w:vertAlign w:val="superscript"/>
          <w:lang w:eastAsia="zh-CN"/>
        </w:rPr>
        <w:t>th</w:t>
      </w:r>
      <w:r>
        <w:rPr>
          <w:rFonts w:eastAsia="SimSun"/>
          <w:bCs w:val="0"/>
          <w:sz w:val="24"/>
          <w:lang w:eastAsia="zh-CN"/>
        </w:rPr>
        <w:t xml:space="preserve"> Oct</w:t>
      </w:r>
      <w:r w:rsidRPr="0042171F">
        <w:rPr>
          <w:rFonts w:eastAsia="SimSun"/>
          <w:bCs w:val="0"/>
          <w:sz w:val="24"/>
          <w:lang w:eastAsia="zh-CN"/>
        </w:rPr>
        <w:t>, 201</w:t>
      </w:r>
      <w:r>
        <w:rPr>
          <w:rFonts w:eastAsia="SimSun"/>
          <w:bCs w:val="0"/>
          <w:sz w:val="24"/>
          <w:lang w:eastAsia="zh-CN"/>
        </w:rPr>
        <w:t>6</w:t>
      </w:r>
    </w:p>
    <w:p w14:paraId="0078A71A" w14:textId="77777777" w:rsidR="007C6DB6" w:rsidRPr="0065569B" w:rsidRDefault="007C6DB6" w:rsidP="007C6DB6">
      <w:pPr>
        <w:pStyle w:val="a"/>
        <w:rPr>
          <w:rFonts w:eastAsia="SimSun"/>
          <w:lang w:eastAsia="zh-CN"/>
        </w:rPr>
      </w:pPr>
    </w:p>
    <w:p w14:paraId="2FAF463F" w14:textId="77777777" w:rsidR="007C6DB6" w:rsidRPr="001F5D6A" w:rsidRDefault="007C6DB6" w:rsidP="007C6DB6">
      <w:pPr>
        <w:pStyle w:val="Header"/>
        <w:tabs>
          <w:tab w:val="right" w:pos="9781"/>
          <w:tab w:val="right" w:pos="13323"/>
        </w:tabs>
        <w:outlineLvl w:val="0"/>
        <w:rPr>
          <w:rFonts w:eastAsia="SimSun"/>
          <w:sz w:val="24"/>
          <w:lang w:eastAsia="zh-CN"/>
        </w:rPr>
      </w:pPr>
    </w:p>
    <w:p w14:paraId="7226A265" w14:textId="64FBB82D" w:rsidR="007C6DB6" w:rsidRPr="00B11C13" w:rsidRDefault="007C6DB6" w:rsidP="007C6DB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Qualcomm Incorporated</w:t>
      </w:r>
    </w:p>
    <w:p w14:paraId="4F30FB48" w14:textId="087F2640" w:rsidR="007C6DB6" w:rsidRDefault="007C6DB6" w:rsidP="007C6DB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Discussion on Coexistence with CEN DSRC Requirements in Region 1</w:t>
      </w:r>
    </w:p>
    <w:p w14:paraId="2524E1AF" w14:textId="3CC39A96" w:rsidR="007C6DB6" w:rsidRPr="0023619D" w:rsidRDefault="007C6DB6" w:rsidP="007C6DB6">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Pr>
          <w:rFonts w:ascii="Arial" w:eastAsia="SimSun" w:hAnsi="Arial" w:cs="Arial" w:hint="eastAsia"/>
          <w:sz w:val="22"/>
          <w:lang w:eastAsia="zh-CN"/>
        </w:rPr>
        <w:t>8.19.1</w:t>
      </w:r>
    </w:p>
    <w:p w14:paraId="12F2B8F7" w14:textId="77777777" w:rsidR="007C6DB6" w:rsidRPr="00A62DA7" w:rsidRDefault="007C6DB6" w:rsidP="007C6DB6">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hint="eastAsia"/>
          <w:sz w:val="22"/>
          <w:lang w:eastAsia="zh-CN"/>
        </w:rPr>
        <w:t>Discussion</w:t>
      </w:r>
    </w:p>
    <w:bookmarkEnd w:id="0"/>
    <w:bookmarkEnd w:id="1"/>
    <w:p w14:paraId="04AE8CAA" w14:textId="77777777" w:rsidR="007C6DB6" w:rsidRDefault="007C6DB6" w:rsidP="007C6DB6">
      <w:pPr>
        <w:pStyle w:val="Heading1"/>
        <w:rPr>
          <w:rFonts w:eastAsia="SimSun"/>
          <w:lang w:eastAsia="zh-CN"/>
        </w:rPr>
      </w:pPr>
      <w:r>
        <w:rPr>
          <w:rFonts w:eastAsia="SimSun" w:hint="eastAsia"/>
          <w:lang w:eastAsia="zh-CN"/>
        </w:rPr>
        <w:t>Introduction</w:t>
      </w:r>
    </w:p>
    <w:p w14:paraId="6336484D" w14:textId="11DBE57F" w:rsidR="007C6DB6" w:rsidRDefault="007C6DB6" w:rsidP="007C6DB6">
      <w:pPr>
        <w:jc w:val="both"/>
      </w:pPr>
      <w:r>
        <w:rPr>
          <w:rFonts w:eastAsia="SimSun"/>
          <w:lang w:eastAsia="zh-CN"/>
        </w:rPr>
        <w:t xml:space="preserve">Region 1 (Europe) is an important potential market for LTE-V2V. </w:t>
      </w:r>
      <w:r>
        <w:t xml:space="preserve">In Europe (Region 1), 5855-5925MHz band is allocated for ITS (Intelligent Transport System) services and has to coexist with </w:t>
      </w:r>
      <w:r w:rsidRPr="00940392">
        <w:t>Transport and Traffic Telematics (TTT</w:t>
      </w:r>
      <w:r>
        <w:t>) (road tolling system, also called as CEN DSRC) operating in 5795-5815MHz band. Due to the small separation of the frequency range between ITS band and CEN DSRC band, there are tighter emission requirements for ITS stations to avoid harmful interference to CEN DSRC.</w:t>
      </w:r>
    </w:p>
    <w:p w14:paraId="3756FA53" w14:textId="5ACB37C9" w:rsidR="007C6DB6" w:rsidRPr="00AE26EC" w:rsidRDefault="007C6DB6" w:rsidP="007C6DB6">
      <w:pPr>
        <w:rPr>
          <w:rFonts w:eastAsia="SimSun"/>
          <w:lang w:eastAsia="zh-CN"/>
        </w:rPr>
      </w:pPr>
      <w:r>
        <w:rPr>
          <w:rFonts w:eastAsia="SimSun"/>
          <w:lang w:eastAsia="zh-CN"/>
        </w:rPr>
        <w:t>In this contribution, we present a more holistic view on these requirements and propose way for LTE-V2V to handle them.</w:t>
      </w:r>
    </w:p>
    <w:p w14:paraId="1ECE0E35" w14:textId="3C7CA6F0" w:rsidR="007C6DB6" w:rsidRPr="001E634A" w:rsidRDefault="007C6DB6" w:rsidP="007C6DB6">
      <w:pPr>
        <w:pStyle w:val="Heading1"/>
        <w:rPr>
          <w:rFonts w:eastAsia="SimSun"/>
          <w:lang w:eastAsia="zh-CN"/>
        </w:rPr>
      </w:pPr>
      <w:r>
        <w:rPr>
          <w:rFonts w:eastAsia="SimSun"/>
          <w:lang w:eastAsia="zh-CN"/>
        </w:rPr>
        <w:lastRenderedPageBreak/>
        <w:t>CEN DSRC Coexistence Requirements</w:t>
      </w:r>
    </w:p>
    <w:p w14:paraId="51FBBA64" w14:textId="7057ACD9" w:rsidR="007C6DB6" w:rsidRDefault="007C6DB6" w:rsidP="007C6DB6">
      <w:pPr>
        <w:jc w:val="both"/>
      </w:pPr>
      <w:r>
        <w:t xml:space="preserve">CEN DSRC communication is localized around the road tolling stations. Example depiction from [1] is in the figure below. The tolling zone </w:t>
      </w:r>
    </w:p>
    <w:p w14:paraId="412A5E47" w14:textId="77777777" w:rsidR="007C6DB6" w:rsidRDefault="007C6DB6" w:rsidP="007C6DB6">
      <w:pPr>
        <w:jc w:val="center"/>
      </w:pPr>
      <w:r w:rsidRPr="00940392">
        <w:rPr>
          <w:noProof/>
          <w:lang w:val="en-US"/>
        </w:rPr>
        <w:drawing>
          <wp:inline distT="0" distB="0" distL="0" distR="0" wp14:anchorId="78DF96D4" wp14:editId="34AA4B50">
            <wp:extent cx="3252158" cy="3952864"/>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2158" cy="3952864"/>
                    </a:xfrm>
                    <a:prstGeom prst="rect">
                      <a:avLst/>
                    </a:prstGeom>
                    <a:noFill/>
                    <a:ln>
                      <a:noFill/>
                    </a:ln>
                  </pic:spPr>
                </pic:pic>
              </a:graphicData>
            </a:graphic>
          </wp:inline>
        </w:drawing>
      </w:r>
    </w:p>
    <w:p w14:paraId="116F9C5E" w14:textId="77777777" w:rsidR="007C6DB6" w:rsidRDefault="007C6DB6" w:rsidP="007C6DB6">
      <w:pPr>
        <w:jc w:val="both"/>
      </w:pPr>
      <w:r>
        <w:t xml:space="preserve">For this reason, each tolling CEN DSRC area is associated with a protection zone surrounding the station designed to protect it from harmful interference from ITS stations. The ITS station then operates in two modes: normal mode outside the protection zone and coexistence mode within the protection zone. In normal mode, there are no additional requirements on the ITS station required for coexistence with CEN DSRC. In coexistence mode, the ITS station has </w:t>
      </w:r>
      <w:r>
        <w:lastRenderedPageBreak/>
        <w:t>to meet tighter requirements to avoid interference to CEN DSRC. Further, difference coexistence modes are possible based on transmit power and transmit duty cycle constraints:</w:t>
      </w:r>
    </w:p>
    <w:p w14:paraId="01CE7C12" w14:textId="77777777" w:rsidR="007C6DB6" w:rsidRDefault="007C6DB6" w:rsidP="007C6DB6">
      <w:pPr>
        <w:jc w:val="both"/>
      </w:pPr>
      <w:r w:rsidRPr="00C92FF2">
        <w:rPr>
          <w:b/>
        </w:rPr>
        <w:t>In normal mode:</w:t>
      </w:r>
      <w:r>
        <w:t xml:space="preserve"> Emission requirement in CEN DSRC band is -30dBm/MHz, and no further constraints on duty-cycle/transmit power. </w:t>
      </w:r>
    </w:p>
    <w:p w14:paraId="697A81AC" w14:textId="77777777" w:rsidR="007C6DB6" w:rsidRDefault="007C6DB6" w:rsidP="007C6DB6">
      <w:r w:rsidRPr="00C92FF2">
        <w:rPr>
          <w:b/>
        </w:rPr>
        <w:t>In coexistence mode:</w:t>
      </w:r>
      <w:r>
        <w:rPr>
          <w:b/>
        </w:rPr>
        <w:t xml:space="preserve"> </w:t>
      </w:r>
      <w:r w:rsidRPr="00C92FF2">
        <w:t xml:space="preserve">From </w:t>
      </w:r>
      <w:r>
        <w:t xml:space="preserve">ETSI </w:t>
      </w:r>
      <w:r w:rsidRPr="00C92FF2">
        <w:t>TS 102 792</w:t>
      </w:r>
    </w:p>
    <w:p w14:paraId="1BCD9A1A" w14:textId="77777777" w:rsidR="007C6DB6" w:rsidRDefault="007C6DB6" w:rsidP="007C6DB6">
      <w:pPr>
        <w:rPr>
          <w:b/>
        </w:rPr>
      </w:pPr>
      <w:r w:rsidRPr="00C92FF2">
        <w:rPr>
          <w:b/>
          <w:noProof/>
          <w:lang w:val="en-US"/>
        </w:rPr>
        <w:drawing>
          <wp:inline distT="0" distB="0" distL="0" distR="0" wp14:anchorId="0417FF21" wp14:editId="27A337E8">
            <wp:extent cx="5943600" cy="14098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409898"/>
                    </a:xfrm>
                    <a:prstGeom prst="rect">
                      <a:avLst/>
                    </a:prstGeom>
                    <a:noFill/>
                    <a:ln>
                      <a:noFill/>
                    </a:ln>
                  </pic:spPr>
                </pic:pic>
              </a:graphicData>
            </a:graphic>
          </wp:inline>
        </w:drawing>
      </w:r>
    </w:p>
    <w:p w14:paraId="399D902B" w14:textId="4DF23D5F" w:rsidR="007C6DB6" w:rsidRDefault="007C6DB6" w:rsidP="007C6DB6">
      <w:pPr>
        <w:jc w:val="both"/>
      </w:pPr>
      <w:r>
        <w:t>The problem is then summarized as follows</w:t>
      </w:r>
    </w:p>
    <w:p w14:paraId="21C998A9" w14:textId="61294545" w:rsidR="007C6DB6" w:rsidRPr="007C6DB6" w:rsidRDefault="007C6DB6" w:rsidP="007C6DB6">
      <w:pPr>
        <w:jc w:val="both"/>
        <w:rPr>
          <w:b/>
          <w:i/>
          <w:u w:val="single"/>
        </w:rPr>
      </w:pPr>
      <w:r w:rsidRPr="007C6DB6">
        <w:rPr>
          <w:b/>
          <w:i/>
          <w:u w:val="single"/>
        </w:rPr>
        <w:t>Observation 1:</w:t>
      </w:r>
    </w:p>
    <w:p w14:paraId="6CB0885A" w14:textId="77777777" w:rsidR="007C6DB6" w:rsidRPr="007C6DB6" w:rsidRDefault="007C6DB6" w:rsidP="007C6DB6">
      <w:pPr>
        <w:pStyle w:val="ListParagraph"/>
        <w:numPr>
          <w:ilvl w:val="0"/>
          <w:numId w:val="5"/>
        </w:numPr>
        <w:overflowPunct/>
        <w:autoSpaceDE/>
        <w:autoSpaceDN/>
        <w:adjustRightInd/>
        <w:spacing w:after="160" w:line="259" w:lineRule="auto"/>
        <w:jc w:val="both"/>
        <w:textAlignment w:val="auto"/>
        <w:rPr>
          <w:i/>
          <w:u w:val="single"/>
        </w:rPr>
      </w:pPr>
      <w:r w:rsidRPr="007C6DB6">
        <w:rPr>
          <w:i/>
          <w:u w:val="single"/>
        </w:rPr>
        <w:t>ITS stations have to meet the tighter requirements for coexistence with CEN DSRC</w:t>
      </w:r>
    </w:p>
    <w:p w14:paraId="4B6BD084" w14:textId="77777777" w:rsidR="007C6DB6" w:rsidRPr="007C6DB6" w:rsidRDefault="007C6DB6" w:rsidP="007C6DB6">
      <w:pPr>
        <w:pStyle w:val="ListParagraph"/>
        <w:numPr>
          <w:ilvl w:val="0"/>
          <w:numId w:val="5"/>
        </w:numPr>
        <w:overflowPunct/>
        <w:autoSpaceDE/>
        <w:autoSpaceDN/>
        <w:adjustRightInd/>
        <w:spacing w:after="160" w:line="259" w:lineRule="auto"/>
        <w:jc w:val="both"/>
        <w:textAlignment w:val="auto"/>
        <w:rPr>
          <w:i/>
          <w:u w:val="single"/>
        </w:rPr>
      </w:pPr>
      <w:r w:rsidRPr="007C6DB6">
        <w:rPr>
          <w:i/>
          <w:u w:val="single"/>
        </w:rPr>
        <w:t>The requirements are regional (Europe)</w:t>
      </w:r>
    </w:p>
    <w:p w14:paraId="022B407B" w14:textId="77777777" w:rsidR="007C6DB6" w:rsidRPr="007C6DB6" w:rsidRDefault="007C6DB6" w:rsidP="007C6DB6">
      <w:pPr>
        <w:pStyle w:val="ListParagraph"/>
        <w:numPr>
          <w:ilvl w:val="0"/>
          <w:numId w:val="5"/>
        </w:numPr>
        <w:overflowPunct/>
        <w:autoSpaceDE/>
        <w:autoSpaceDN/>
        <w:adjustRightInd/>
        <w:spacing w:after="160" w:line="259" w:lineRule="auto"/>
        <w:jc w:val="both"/>
        <w:textAlignment w:val="auto"/>
        <w:rPr>
          <w:i/>
          <w:u w:val="single"/>
        </w:rPr>
      </w:pPr>
      <w:r w:rsidRPr="007C6DB6">
        <w:rPr>
          <w:i/>
          <w:u w:val="single"/>
        </w:rPr>
        <w:t>The requirements are dynamic, e.g. a car driving through the road tolling station will have no additional requirements when far from the tolling station, then have tighter requirements when in the protection zone, and then again back to normal mode when it moves away.</w:t>
      </w:r>
    </w:p>
    <w:p w14:paraId="50557112" w14:textId="77777777" w:rsidR="007C6DB6" w:rsidRPr="007C6DB6" w:rsidRDefault="007C6DB6" w:rsidP="007C6DB6">
      <w:pPr>
        <w:pStyle w:val="ListParagraph"/>
        <w:numPr>
          <w:ilvl w:val="0"/>
          <w:numId w:val="5"/>
        </w:numPr>
        <w:overflowPunct/>
        <w:autoSpaceDE/>
        <w:autoSpaceDN/>
        <w:adjustRightInd/>
        <w:spacing w:after="160" w:line="259" w:lineRule="auto"/>
        <w:jc w:val="both"/>
        <w:textAlignment w:val="auto"/>
        <w:rPr>
          <w:i/>
          <w:u w:val="single"/>
        </w:rPr>
      </w:pPr>
      <w:r w:rsidRPr="007C6DB6">
        <w:rPr>
          <w:i/>
          <w:u w:val="single"/>
        </w:rPr>
        <w:t xml:space="preserve">The requirements in protection zone further depend on the coexistence mode being used by the UE (i.e. mix of emission requirements, max </w:t>
      </w:r>
      <w:proofErr w:type="spellStart"/>
      <w:r w:rsidRPr="007C6DB6">
        <w:rPr>
          <w:i/>
          <w:u w:val="single"/>
        </w:rPr>
        <w:t>tx</w:t>
      </w:r>
      <w:proofErr w:type="spellEnd"/>
      <w:r w:rsidRPr="007C6DB6">
        <w:rPr>
          <w:i/>
          <w:u w:val="single"/>
        </w:rPr>
        <w:t xml:space="preserve"> power, and duty cycle)</w:t>
      </w:r>
    </w:p>
    <w:p w14:paraId="56A1BD90" w14:textId="565BC4BB" w:rsidR="007C6DB6" w:rsidRPr="001E634A" w:rsidRDefault="007C6DB6" w:rsidP="007C6DB6">
      <w:pPr>
        <w:pStyle w:val="Heading1"/>
        <w:rPr>
          <w:rFonts w:eastAsia="SimSun"/>
          <w:lang w:eastAsia="zh-CN"/>
        </w:rPr>
      </w:pPr>
      <w:r>
        <w:rPr>
          <w:rFonts w:eastAsia="SimSun"/>
          <w:lang w:eastAsia="zh-CN"/>
        </w:rPr>
        <w:lastRenderedPageBreak/>
        <w:t>How to Handle CEN DSRC Coexistence Requirements</w:t>
      </w:r>
    </w:p>
    <w:p w14:paraId="5A518B4B" w14:textId="6DDFB0EF" w:rsidR="007C6DB6" w:rsidRDefault="007C6DB6" w:rsidP="007C6DB6">
      <w:pPr>
        <w:jc w:val="both"/>
        <w:rPr>
          <w:b/>
        </w:rPr>
      </w:pPr>
      <w:r w:rsidRPr="00AD646C">
        <w:rPr>
          <w:b/>
        </w:rPr>
        <w:t xml:space="preserve">Why </w:t>
      </w:r>
      <w:r>
        <w:rPr>
          <w:b/>
        </w:rPr>
        <w:t>the NS signa</w:t>
      </w:r>
      <w:r w:rsidR="00774032">
        <w:rPr>
          <w:b/>
        </w:rPr>
        <w:t>l</w:t>
      </w:r>
      <w:r>
        <w:rPr>
          <w:b/>
        </w:rPr>
        <w:t>ling / A-MPR approach does</w:t>
      </w:r>
      <w:r w:rsidRPr="00AD646C">
        <w:rPr>
          <w:b/>
        </w:rPr>
        <w:t xml:space="preserve"> not work </w:t>
      </w:r>
      <w:r w:rsidR="00326F36">
        <w:rPr>
          <w:b/>
        </w:rPr>
        <w:t>for CEN DSRC coexistence requirements</w:t>
      </w:r>
    </w:p>
    <w:p w14:paraId="0559B4F6" w14:textId="70A2242D" w:rsidR="007C6DB6" w:rsidRDefault="007C6DB6" w:rsidP="007C6DB6">
      <w:pPr>
        <w:jc w:val="both"/>
      </w:pPr>
      <w:r w:rsidRPr="00E14D51">
        <w:rPr>
          <w:i/>
        </w:rPr>
        <w:t>Issue 1: Indication of the additional requirements.</w:t>
      </w:r>
      <w:r>
        <w:t xml:space="preserve"> The intention for NS signal</w:t>
      </w:r>
      <w:r w:rsidR="00303C8F">
        <w:t>l</w:t>
      </w:r>
      <w:r>
        <w:t xml:space="preserve">ing (and the associated A-MPR allowance) is to meet regional requirements that are more static in nature (e.g. applicable over a wide region) and not expected to dynamically become applicable based on distance from tolling stations (order of 100m from tolling station). Because of the static nature, the applicability can be signalled to the UE from </w:t>
      </w:r>
      <w:proofErr w:type="spellStart"/>
      <w:r>
        <w:t>eNB</w:t>
      </w:r>
      <w:proofErr w:type="spellEnd"/>
      <w:r>
        <w:t xml:space="preserve"> or pre-configured in the USIM with the associated geographical area. However, the same approach does not work (at least efficiently) for tolling station case.</w:t>
      </w:r>
    </w:p>
    <w:p w14:paraId="5D7FE661" w14:textId="77777777" w:rsidR="007C6DB6" w:rsidRDefault="007C6DB6" w:rsidP="007C6DB6">
      <w:pPr>
        <w:jc w:val="both"/>
      </w:pPr>
      <w:r w:rsidRPr="00E14D51">
        <w:rPr>
          <w:i/>
        </w:rPr>
        <w:t xml:space="preserve">Issue 2: Mix of </w:t>
      </w:r>
      <w:r>
        <w:rPr>
          <w:i/>
        </w:rPr>
        <w:t>Duty-Cycle</w:t>
      </w:r>
      <w:r w:rsidRPr="00E14D51">
        <w:rPr>
          <w:i/>
        </w:rPr>
        <w:t xml:space="preserve"> + Emissions + </w:t>
      </w:r>
      <w:proofErr w:type="spellStart"/>
      <w:proofErr w:type="gramStart"/>
      <w:r w:rsidRPr="00E14D51">
        <w:rPr>
          <w:i/>
        </w:rPr>
        <w:t>Tx</w:t>
      </w:r>
      <w:proofErr w:type="spellEnd"/>
      <w:proofErr w:type="gramEnd"/>
      <w:r w:rsidRPr="00E14D51">
        <w:rPr>
          <w:i/>
        </w:rPr>
        <w:t xml:space="preserve"> output power:</w:t>
      </w:r>
      <w:r>
        <w:t xml:space="preserve"> Regional requirements covered under NS relate to fixed emission requirements independent of the duty cycle of transmission. For the CEN DSRC coexistence case, Mode A is of that form. However, Modes B, C, D are also allowed where the emission requirements differ if the UE is transmitting at lower frequency etc. So the emission requirement to meet also depends on the UE implementation of the coexistence mode, and is not fixed as required with NS.</w:t>
      </w:r>
    </w:p>
    <w:p w14:paraId="57F35F0A" w14:textId="7E981C37" w:rsidR="00AE65BF" w:rsidRPr="00AE65BF" w:rsidRDefault="00AE65BF" w:rsidP="007C6DB6">
      <w:pPr>
        <w:jc w:val="both"/>
        <w:rPr>
          <w:i/>
        </w:rPr>
      </w:pPr>
      <w:r w:rsidRPr="00AE65BF">
        <w:rPr>
          <w:b/>
          <w:i/>
          <w:u w:val="single"/>
        </w:rPr>
        <w:t>Observation 2:</w:t>
      </w:r>
      <w:r>
        <w:t xml:space="preserve"> </w:t>
      </w:r>
      <w:r w:rsidRPr="00AE65BF">
        <w:rPr>
          <w:i/>
        </w:rPr>
        <w:t>Current NS and A-MPR mechanism cannot handle the addition requirements.</w:t>
      </w:r>
    </w:p>
    <w:p w14:paraId="7411CD2D" w14:textId="11A5421D" w:rsidR="007C6DB6" w:rsidRDefault="007C6DB6" w:rsidP="007C6DB6">
      <w:pPr>
        <w:jc w:val="both"/>
        <w:rPr>
          <w:b/>
        </w:rPr>
      </w:pPr>
      <w:r>
        <w:rPr>
          <w:b/>
        </w:rPr>
        <w:t>Proposed Method</w:t>
      </w:r>
    </w:p>
    <w:p w14:paraId="12272A72" w14:textId="3A1A3CDD" w:rsidR="00774032" w:rsidRDefault="00774032" w:rsidP="007C6DB6">
      <w:pPr>
        <w:jc w:val="both"/>
      </w:pPr>
      <w:r>
        <w:t>In this method, we propose to define a new type of MPR in the specification, called D-MPR, which does not associated with NS signalling. In fact, D-MPR should be associated with another type of signalling</w:t>
      </w:r>
      <w:r w:rsidR="00303C8F">
        <w:t xml:space="preserve"> </w:t>
      </w:r>
      <w:r>
        <w:t>that allows upper layers signal physical layer that a tighter set of requirement should be met. In this particular case, the upper layer shall be capable to detect if the vehicle is close to a tolling station, based on that it will trigger a signal to physical layer.</w:t>
      </w:r>
    </w:p>
    <w:p w14:paraId="08224F2A" w14:textId="05FC46DF" w:rsidR="00F928CE" w:rsidRDefault="00774032" w:rsidP="00F928CE">
      <w:pPr>
        <w:pStyle w:val="ListParagraph"/>
        <w:overflowPunct/>
        <w:autoSpaceDE/>
        <w:autoSpaceDN/>
        <w:adjustRightInd/>
        <w:spacing w:after="160" w:line="259" w:lineRule="auto"/>
        <w:ind w:left="0"/>
        <w:jc w:val="both"/>
        <w:textAlignment w:val="auto"/>
      </w:pPr>
      <w:r>
        <w:lastRenderedPageBreak/>
        <w:t xml:space="preserve">Upon receiving the </w:t>
      </w:r>
      <w:r w:rsidR="00C239F1">
        <w:t>signalling</w:t>
      </w:r>
      <w:r>
        <w:t>, the physical layer will choose one of the 4 coexistence modes and determine a set of addition requirements to be met</w:t>
      </w:r>
      <w:r w:rsidR="00F928CE">
        <w:t>, together with an allowed maximum transmit output power (D-MPR)</w:t>
      </w:r>
      <w:r>
        <w:t>.</w:t>
      </w:r>
      <w:r w:rsidR="00F928CE">
        <w:t xml:space="preserve"> Then it configures the transmit output power using a </w:t>
      </w:r>
      <w:proofErr w:type="spellStart"/>
      <w:r w:rsidR="00F928CE">
        <w:t>backoff</w:t>
      </w:r>
      <w:proofErr w:type="spellEnd"/>
      <w:r w:rsidR="00F928CE">
        <w:t xml:space="preserve"> from the maximum output power less than or equal to D-MPR at which the UE can meet the additional emission requirements</w:t>
      </w:r>
    </w:p>
    <w:p w14:paraId="1574D0C0" w14:textId="2F79B790" w:rsidR="00774032" w:rsidRDefault="00774032" w:rsidP="007C6DB6">
      <w:pPr>
        <w:jc w:val="both"/>
      </w:pPr>
      <w:r>
        <w:t xml:space="preserve"> The set of additional requirements for each mode will be defined in the specification. How physical layer choose the coexistence mode to operate on </w:t>
      </w:r>
      <w:r w:rsidR="00F928CE">
        <w:t>can be</w:t>
      </w:r>
      <w:r>
        <w:t xml:space="preserve"> left to UE implementation.</w:t>
      </w:r>
      <w:r w:rsidR="00F928CE">
        <w:t xml:space="preserve"> </w:t>
      </w:r>
    </w:p>
    <w:p w14:paraId="2C7F623E" w14:textId="3A379734" w:rsidR="00AE65BF" w:rsidRDefault="00AE65BF" w:rsidP="007C6DB6">
      <w:pPr>
        <w:jc w:val="both"/>
        <w:rPr>
          <w:b/>
        </w:rPr>
      </w:pPr>
      <w:r w:rsidRPr="00AE65BF">
        <w:rPr>
          <w:b/>
          <w:u w:val="single"/>
        </w:rPr>
        <w:t>Proposal 1:</w:t>
      </w:r>
      <w:r w:rsidRPr="00AE65BF">
        <w:rPr>
          <w:b/>
        </w:rPr>
        <w:t xml:space="preserve"> Define a new type of </w:t>
      </w:r>
      <w:r w:rsidR="00C239F1">
        <w:rPr>
          <w:b/>
        </w:rPr>
        <w:t>MPR, called D-MPR that is associated with a new type of signalling from upper layer.</w:t>
      </w:r>
    </w:p>
    <w:p w14:paraId="1B0DB943" w14:textId="4A02CA37" w:rsidR="00C239F1" w:rsidRPr="00AE65BF" w:rsidRDefault="00C239F1" w:rsidP="007C6DB6">
      <w:pPr>
        <w:jc w:val="both"/>
        <w:rPr>
          <w:b/>
        </w:rPr>
      </w:pPr>
      <w:r>
        <w:rPr>
          <w:b/>
        </w:rPr>
        <w:t>Proposal 2: RAN4 to send an LS to RAN2 about the definition of a new type of signalling from upper layer.</w:t>
      </w:r>
    </w:p>
    <w:p w14:paraId="064BB595" w14:textId="3838475B" w:rsidR="00F928CE" w:rsidRDefault="00AE65BF" w:rsidP="00F928CE">
      <w:pPr>
        <w:jc w:val="both"/>
        <w:rPr>
          <w:b/>
        </w:rPr>
      </w:pPr>
      <w:r>
        <w:rPr>
          <w:b/>
        </w:rPr>
        <w:t>Detection of Tolling Stations Locations</w:t>
      </w:r>
    </w:p>
    <w:p w14:paraId="6B83DB70" w14:textId="79F7B448" w:rsidR="00F928CE" w:rsidRDefault="00AE65BF" w:rsidP="007C6DB6">
      <w:pPr>
        <w:jc w:val="both"/>
      </w:pPr>
      <w:r>
        <w:t>The detection of tolling station can be based on geo-location or on CEN DSRC signal detection. In both case, the required technique is out of RAN4 scope.</w:t>
      </w:r>
    </w:p>
    <w:p w14:paraId="1774E166" w14:textId="331F241A" w:rsidR="00AE65BF" w:rsidRDefault="00AE65BF" w:rsidP="007C6DB6">
      <w:pPr>
        <w:jc w:val="both"/>
      </w:pPr>
      <w:r>
        <w:t>On the other hand, CEN DSRC coexistence requirements only applies to Europe and for Europe, the ETSI harmonised standard has already defined mitigation techniques for this case [</w:t>
      </w:r>
      <w:r w:rsidR="00C3573E">
        <w:t>1</w:t>
      </w:r>
      <w:r>
        <w:t>]. Any ITS device that operate in Europe has to implement (at least one of) those techniques by default. Thus RAN4 does not need to further consider this question.</w:t>
      </w:r>
    </w:p>
    <w:p w14:paraId="74B159C3" w14:textId="01B07698" w:rsidR="00AE65BF" w:rsidRPr="00AE65BF" w:rsidRDefault="00AE65BF" w:rsidP="007C6DB6">
      <w:pPr>
        <w:jc w:val="both"/>
        <w:rPr>
          <w:b/>
        </w:rPr>
      </w:pPr>
      <w:r w:rsidRPr="00AE65BF">
        <w:rPr>
          <w:b/>
          <w:u w:val="single"/>
        </w:rPr>
        <w:t xml:space="preserve">Proposal </w:t>
      </w:r>
      <w:r w:rsidR="00C239F1">
        <w:rPr>
          <w:b/>
          <w:u w:val="single"/>
        </w:rPr>
        <w:t>3</w:t>
      </w:r>
      <w:r w:rsidRPr="00AE65BF">
        <w:rPr>
          <w:b/>
          <w:u w:val="single"/>
        </w:rPr>
        <w:t>:</w:t>
      </w:r>
      <w:r w:rsidRPr="00AE65BF">
        <w:rPr>
          <w:b/>
        </w:rPr>
        <w:t xml:space="preserve"> RAN4 does not need to study techniques to detect tolling stations locations</w:t>
      </w:r>
      <w:r w:rsidR="00C3573E">
        <w:rPr>
          <w:b/>
        </w:rPr>
        <w:t>.</w:t>
      </w:r>
    </w:p>
    <w:p w14:paraId="4202C504" w14:textId="6020DFD9" w:rsidR="00AE65BF" w:rsidRDefault="00AE65BF" w:rsidP="007C6DB6">
      <w:pPr>
        <w:pStyle w:val="Heading1"/>
        <w:numPr>
          <w:ilvl w:val="0"/>
          <w:numId w:val="0"/>
        </w:numPr>
      </w:pPr>
      <w:r>
        <w:t>4 Conclusions</w:t>
      </w:r>
    </w:p>
    <w:p w14:paraId="79246DB4" w14:textId="77777777" w:rsidR="00C3573E" w:rsidRPr="007C6DB6" w:rsidRDefault="00C3573E" w:rsidP="00C3573E">
      <w:pPr>
        <w:jc w:val="both"/>
        <w:rPr>
          <w:b/>
          <w:i/>
          <w:u w:val="single"/>
        </w:rPr>
      </w:pPr>
      <w:r w:rsidRPr="007C6DB6">
        <w:rPr>
          <w:b/>
          <w:i/>
          <w:u w:val="single"/>
        </w:rPr>
        <w:t>Observation 1:</w:t>
      </w:r>
    </w:p>
    <w:p w14:paraId="0591881B" w14:textId="77777777" w:rsidR="00C3573E" w:rsidRPr="007C6DB6" w:rsidRDefault="00C3573E" w:rsidP="00C3573E">
      <w:pPr>
        <w:pStyle w:val="ListParagraph"/>
        <w:numPr>
          <w:ilvl w:val="0"/>
          <w:numId w:val="5"/>
        </w:numPr>
        <w:overflowPunct/>
        <w:autoSpaceDE/>
        <w:autoSpaceDN/>
        <w:adjustRightInd/>
        <w:spacing w:after="160" w:line="259" w:lineRule="auto"/>
        <w:jc w:val="both"/>
        <w:textAlignment w:val="auto"/>
        <w:rPr>
          <w:i/>
          <w:u w:val="single"/>
        </w:rPr>
      </w:pPr>
      <w:r w:rsidRPr="007C6DB6">
        <w:rPr>
          <w:i/>
          <w:u w:val="single"/>
        </w:rPr>
        <w:t>ITS stations have to meet the tighter requirements for coexistence with CEN DSRC</w:t>
      </w:r>
    </w:p>
    <w:p w14:paraId="3B1F3512" w14:textId="77777777" w:rsidR="00C3573E" w:rsidRPr="007C6DB6" w:rsidRDefault="00C3573E" w:rsidP="00C3573E">
      <w:pPr>
        <w:pStyle w:val="ListParagraph"/>
        <w:numPr>
          <w:ilvl w:val="0"/>
          <w:numId w:val="5"/>
        </w:numPr>
        <w:overflowPunct/>
        <w:autoSpaceDE/>
        <w:autoSpaceDN/>
        <w:adjustRightInd/>
        <w:spacing w:after="160" w:line="259" w:lineRule="auto"/>
        <w:jc w:val="both"/>
        <w:textAlignment w:val="auto"/>
        <w:rPr>
          <w:i/>
          <w:u w:val="single"/>
        </w:rPr>
      </w:pPr>
      <w:r w:rsidRPr="007C6DB6">
        <w:rPr>
          <w:i/>
          <w:u w:val="single"/>
        </w:rPr>
        <w:t>The requirements are regional (Europe)</w:t>
      </w:r>
    </w:p>
    <w:p w14:paraId="3743D565" w14:textId="77777777" w:rsidR="00C3573E" w:rsidRPr="007C6DB6" w:rsidRDefault="00C3573E" w:rsidP="00C3573E">
      <w:pPr>
        <w:pStyle w:val="ListParagraph"/>
        <w:numPr>
          <w:ilvl w:val="0"/>
          <w:numId w:val="5"/>
        </w:numPr>
        <w:overflowPunct/>
        <w:autoSpaceDE/>
        <w:autoSpaceDN/>
        <w:adjustRightInd/>
        <w:spacing w:after="160" w:line="259" w:lineRule="auto"/>
        <w:jc w:val="both"/>
        <w:textAlignment w:val="auto"/>
        <w:rPr>
          <w:i/>
          <w:u w:val="single"/>
        </w:rPr>
      </w:pPr>
      <w:r w:rsidRPr="007C6DB6">
        <w:rPr>
          <w:i/>
          <w:u w:val="single"/>
        </w:rPr>
        <w:lastRenderedPageBreak/>
        <w:t>The requirements are dynamic, e.g. a car driving through the road tolling station will have no additional requirements when far from the tolling station, then have tighter requirements when in the protection zone, and then again back to normal mode when it moves away.</w:t>
      </w:r>
    </w:p>
    <w:p w14:paraId="405E6613" w14:textId="77777777" w:rsidR="00C3573E" w:rsidRPr="007C6DB6" w:rsidRDefault="00C3573E" w:rsidP="00C3573E">
      <w:pPr>
        <w:pStyle w:val="ListParagraph"/>
        <w:numPr>
          <w:ilvl w:val="0"/>
          <w:numId w:val="5"/>
        </w:numPr>
        <w:overflowPunct/>
        <w:autoSpaceDE/>
        <w:autoSpaceDN/>
        <w:adjustRightInd/>
        <w:spacing w:after="160" w:line="259" w:lineRule="auto"/>
        <w:jc w:val="both"/>
        <w:textAlignment w:val="auto"/>
        <w:rPr>
          <w:i/>
          <w:u w:val="single"/>
        </w:rPr>
      </w:pPr>
      <w:r w:rsidRPr="007C6DB6">
        <w:rPr>
          <w:i/>
          <w:u w:val="single"/>
        </w:rPr>
        <w:t xml:space="preserve">The requirements in protection zone further depend on the coexistence mode being used by the UE (i.e. mix of emission requirements, max </w:t>
      </w:r>
      <w:proofErr w:type="spellStart"/>
      <w:r w:rsidRPr="007C6DB6">
        <w:rPr>
          <w:i/>
          <w:u w:val="single"/>
        </w:rPr>
        <w:t>tx</w:t>
      </w:r>
      <w:proofErr w:type="spellEnd"/>
      <w:r w:rsidRPr="007C6DB6">
        <w:rPr>
          <w:i/>
          <w:u w:val="single"/>
        </w:rPr>
        <w:t xml:space="preserve"> power, and duty cycle)</w:t>
      </w:r>
    </w:p>
    <w:p w14:paraId="7247419D" w14:textId="77777777" w:rsidR="00C3573E" w:rsidRPr="00C3573E" w:rsidRDefault="00C3573E" w:rsidP="00C3573E">
      <w:pPr>
        <w:jc w:val="both"/>
        <w:rPr>
          <w:i/>
        </w:rPr>
      </w:pPr>
      <w:r w:rsidRPr="00C3573E">
        <w:rPr>
          <w:b/>
          <w:i/>
          <w:u w:val="single"/>
        </w:rPr>
        <w:t>Observation 2:</w:t>
      </w:r>
      <w:r>
        <w:t xml:space="preserve"> </w:t>
      </w:r>
      <w:r w:rsidRPr="00C3573E">
        <w:rPr>
          <w:i/>
        </w:rPr>
        <w:t>Current NS and A-MPR mechanism cannot handle the addition requirements.</w:t>
      </w:r>
    </w:p>
    <w:p w14:paraId="7E993C97" w14:textId="77777777" w:rsidR="00C3573E" w:rsidRDefault="00C3573E" w:rsidP="00C3573E">
      <w:pPr>
        <w:jc w:val="both"/>
        <w:rPr>
          <w:b/>
        </w:rPr>
      </w:pPr>
      <w:r w:rsidRPr="00C3573E">
        <w:rPr>
          <w:b/>
          <w:u w:val="single"/>
        </w:rPr>
        <w:t>Proposal 1:</w:t>
      </w:r>
      <w:r w:rsidRPr="00C3573E">
        <w:rPr>
          <w:b/>
        </w:rPr>
        <w:t xml:space="preserve"> Define a new type of signalling, i.e. Application Signalling (AS) and the associated D-MPR.</w:t>
      </w:r>
    </w:p>
    <w:p w14:paraId="4ED9CDE3" w14:textId="00C5889B" w:rsidR="00C239F1" w:rsidRPr="00C3573E" w:rsidRDefault="00C239F1" w:rsidP="00C3573E">
      <w:pPr>
        <w:jc w:val="both"/>
        <w:rPr>
          <w:b/>
        </w:rPr>
      </w:pPr>
      <w:r>
        <w:rPr>
          <w:b/>
        </w:rPr>
        <w:t>Proposal 2: RAN4 to send an LS to RAN2 about the definition of a new type of signalling from upper layer.</w:t>
      </w:r>
    </w:p>
    <w:p w14:paraId="7F4D0663" w14:textId="69C24A62" w:rsidR="00AE65BF" w:rsidRPr="00C3573E" w:rsidRDefault="00C3573E" w:rsidP="00C3573E">
      <w:pPr>
        <w:jc w:val="both"/>
        <w:rPr>
          <w:b/>
        </w:rPr>
      </w:pPr>
      <w:r w:rsidRPr="00C3573E">
        <w:rPr>
          <w:b/>
          <w:u w:val="single"/>
        </w:rPr>
        <w:t xml:space="preserve">Proposal </w:t>
      </w:r>
      <w:r w:rsidR="00C239F1">
        <w:rPr>
          <w:b/>
          <w:u w:val="single"/>
        </w:rPr>
        <w:t>3</w:t>
      </w:r>
      <w:r w:rsidRPr="00C3573E">
        <w:rPr>
          <w:b/>
          <w:u w:val="single"/>
        </w:rPr>
        <w:t>:</w:t>
      </w:r>
      <w:r w:rsidRPr="00C3573E">
        <w:rPr>
          <w:b/>
        </w:rPr>
        <w:t xml:space="preserve"> RAN4 does not need to study techniques to detect tolling stations locations.</w:t>
      </w:r>
    </w:p>
    <w:p w14:paraId="3B15C45D" w14:textId="68386E7B" w:rsidR="007C6DB6" w:rsidRPr="00A81A25" w:rsidRDefault="00AE65BF" w:rsidP="007C6DB6">
      <w:pPr>
        <w:pStyle w:val="Heading1"/>
        <w:numPr>
          <w:ilvl w:val="0"/>
          <w:numId w:val="0"/>
        </w:numPr>
      </w:pPr>
      <w:r>
        <w:t xml:space="preserve">5 </w:t>
      </w:r>
      <w:r w:rsidR="007C6DB6">
        <w:t>References</w:t>
      </w:r>
    </w:p>
    <w:p w14:paraId="6B642BE8" w14:textId="359528AF" w:rsidR="00676F9B" w:rsidRPr="00C3573E" w:rsidRDefault="00C3573E" w:rsidP="00C3573E">
      <w:pPr>
        <w:pStyle w:val="ListParagraph"/>
        <w:numPr>
          <w:ilvl w:val="0"/>
          <w:numId w:val="2"/>
        </w:numPr>
        <w:overflowPunct/>
        <w:spacing w:after="0"/>
        <w:ind w:left="720"/>
        <w:textAlignment w:val="auto"/>
        <w:rPr>
          <w:rFonts w:eastAsiaTheme="minorHAnsi"/>
          <w:bCs/>
          <w:lang w:val="en-US"/>
        </w:rPr>
      </w:pPr>
      <w:r>
        <w:t xml:space="preserve">ETSI TS 102 792 v1.2.1- </w:t>
      </w:r>
      <w:r w:rsidRPr="00C3573E">
        <w:rPr>
          <w:rFonts w:eastAsiaTheme="minorHAnsi"/>
          <w:bCs/>
          <w:lang w:val="en-US"/>
        </w:rPr>
        <w:t>Inte</w:t>
      </w:r>
      <w:r>
        <w:rPr>
          <w:rFonts w:eastAsiaTheme="minorHAnsi"/>
          <w:bCs/>
          <w:lang w:val="en-US"/>
        </w:rPr>
        <w:t xml:space="preserve">lligent Transport Systems (ITS): </w:t>
      </w:r>
      <w:r w:rsidRPr="00C3573E">
        <w:rPr>
          <w:rFonts w:eastAsiaTheme="minorHAnsi"/>
          <w:bCs/>
          <w:lang w:val="en-US"/>
        </w:rPr>
        <w:t>Mitigation techniques to avoid interference between European</w:t>
      </w:r>
      <w:r>
        <w:rPr>
          <w:rFonts w:eastAsiaTheme="minorHAnsi"/>
          <w:bCs/>
          <w:lang w:val="en-US"/>
        </w:rPr>
        <w:t xml:space="preserve"> </w:t>
      </w:r>
      <w:r w:rsidRPr="00C3573E">
        <w:rPr>
          <w:rFonts w:eastAsiaTheme="minorHAnsi"/>
          <w:bCs/>
          <w:lang w:val="en-US"/>
        </w:rPr>
        <w:t>CEN Dedicated Short Range Communication (CEN DSRC)</w:t>
      </w:r>
      <w:r>
        <w:rPr>
          <w:rFonts w:eastAsiaTheme="minorHAnsi"/>
          <w:bCs/>
          <w:lang w:val="en-US"/>
        </w:rPr>
        <w:t xml:space="preserve"> </w:t>
      </w:r>
      <w:r w:rsidRPr="00C3573E">
        <w:rPr>
          <w:rFonts w:eastAsiaTheme="minorHAnsi"/>
          <w:bCs/>
          <w:lang w:val="en-US"/>
        </w:rPr>
        <w:t>equipment and</w:t>
      </w:r>
      <w:r>
        <w:rPr>
          <w:rFonts w:eastAsiaTheme="minorHAnsi"/>
          <w:bCs/>
          <w:lang w:val="en-US"/>
        </w:rPr>
        <w:t xml:space="preserve"> </w:t>
      </w:r>
      <w:r w:rsidRPr="00C3573E">
        <w:rPr>
          <w:rFonts w:eastAsiaTheme="minorHAnsi"/>
          <w:bCs/>
          <w:lang w:val="en-US"/>
        </w:rPr>
        <w:t>Intelligent Transport Systems (ITS)</w:t>
      </w:r>
      <w:r>
        <w:rPr>
          <w:rFonts w:eastAsiaTheme="minorHAnsi"/>
          <w:bCs/>
          <w:lang w:val="en-US"/>
        </w:rPr>
        <w:t xml:space="preserve"> </w:t>
      </w:r>
      <w:r w:rsidRPr="00C3573E">
        <w:rPr>
          <w:rFonts w:eastAsiaTheme="minorHAnsi"/>
          <w:bCs/>
          <w:lang w:val="en-US"/>
        </w:rPr>
        <w:t>operating in the 5 GHz frequency range</w:t>
      </w:r>
      <w:r>
        <w:rPr>
          <w:rFonts w:eastAsiaTheme="minorHAnsi"/>
          <w:bCs/>
          <w:lang w:val="en-US"/>
        </w:rPr>
        <w:t>.</w:t>
      </w:r>
      <w:bookmarkStart w:id="2" w:name="_GoBack"/>
      <w:bookmarkEnd w:id="2"/>
    </w:p>
    <w:sectPr w:rsidR="00676F9B" w:rsidRPr="00C3573E" w:rsidSect="00D06FAD">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01C63" w14:textId="77777777" w:rsidR="00572F2E" w:rsidRDefault="00326F36">
      <w:pPr>
        <w:spacing w:after="0"/>
      </w:pPr>
      <w:r>
        <w:separator/>
      </w:r>
    </w:p>
  </w:endnote>
  <w:endnote w:type="continuationSeparator" w:id="0">
    <w:p w14:paraId="5AADF9D5" w14:textId="77777777" w:rsidR="00572F2E" w:rsidRDefault="00326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6787F" w14:textId="77777777" w:rsidR="003B52D0" w:rsidRDefault="00C3573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8FEDE" w14:textId="77777777" w:rsidR="00572F2E" w:rsidRDefault="00326F36">
      <w:pPr>
        <w:spacing w:after="0"/>
      </w:pPr>
      <w:r>
        <w:separator/>
      </w:r>
    </w:p>
  </w:footnote>
  <w:footnote w:type="continuationSeparator" w:id="0">
    <w:p w14:paraId="37FCC9E5" w14:textId="77777777" w:rsidR="00572F2E" w:rsidRDefault="00326F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6382B"/>
    <w:multiLevelType w:val="hybridMultilevel"/>
    <w:tmpl w:val="F57C1E78"/>
    <w:lvl w:ilvl="0" w:tplc="1A58E00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2F3D12"/>
    <w:multiLevelType w:val="hybridMultilevel"/>
    <w:tmpl w:val="FE78E1DC"/>
    <w:lvl w:ilvl="0" w:tplc="CFF81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D91151"/>
    <w:multiLevelType w:val="hybridMultilevel"/>
    <w:tmpl w:val="FB546034"/>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247739"/>
    <w:multiLevelType w:val="hybridMultilevel"/>
    <w:tmpl w:val="4BAC79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4B328A"/>
    <w:multiLevelType w:val="hybridMultilevel"/>
    <w:tmpl w:val="25F217B6"/>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num w:numId="1">
    <w:abstractNumId w:val="1"/>
  </w:num>
  <w:num w:numId="2">
    <w:abstractNumId w:val="5"/>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F9B"/>
    <w:rsid w:val="00303C8F"/>
    <w:rsid w:val="00326F36"/>
    <w:rsid w:val="00494F3E"/>
    <w:rsid w:val="00572F2E"/>
    <w:rsid w:val="00676F9B"/>
    <w:rsid w:val="00774032"/>
    <w:rsid w:val="007C6DB6"/>
    <w:rsid w:val="00AE65BF"/>
    <w:rsid w:val="00C239F1"/>
    <w:rsid w:val="00C3573E"/>
    <w:rsid w:val="00F92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17EA1"/>
  <w15:chartTrackingRefBased/>
  <w15:docId w15:val="{D2F852DB-3339-4BA3-BC46-780719109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9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7C6DB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sz w:val="36"/>
      <w:szCs w:val="20"/>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C6DB6"/>
    <w:pPr>
      <w:numPr>
        <w:ilvl w:val="1"/>
        <w:numId w:val="1"/>
      </w:numPr>
      <w:spacing w:before="100" w:beforeAutospacing="1" w:afterLines="100" w:after="100" w:line="240" w:lineRule="auto"/>
      <w:outlineLvl w:val="1"/>
    </w:pPr>
    <w:rPr>
      <w:rFonts w:ascii="Arial" w:eastAsia="Arial" w:hAnsi="Arial" w:cs="Times New Roman"/>
      <w:sz w:val="32"/>
      <w:szCs w:val="20"/>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7C6DB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6DB6"/>
    <w:pPr>
      <w:numPr>
        <w:ilvl w:val="3"/>
      </w:numPr>
      <w:outlineLvl w:val="3"/>
    </w:pPr>
    <w:rPr>
      <w:sz w:val="24"/>
    </w:rPr>
  </w:style>
  <w:style w:type="paragraph" w:styleId="Heading6">
    <w:name w:val="heading 6"/>
    <w:aliases w:val="T1,Header 6"/>
    <w:basedOn w:val="Normal"/>
    <w:next w:val="Normal"/>
    <w:link w:val="Heading6Char"/>
    <w:qFormat/>
    <w:rsid w:val="007C6DB6"/>
    <w:pPr>
      <w:numPr>
        <w:ilvl w:val="4"/>
        <w:numId w:val="1"/>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C6DB6"/>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C6DB6"/>
    <w:rPr>
      <w:rFonts w:ascii="Arial" w:eastAsia="Arial"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7C6DB6"/>
    <w:rPr>
      <w:rFonts w:ascii="Arial" w:eastAsia="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6DB6"/>
    <w:rPr>
      <w:rFonts w:ascii="Arial" w:eastAsia="Arial" w:hAnsi="Arial" w:cs="Times New Roman"/>
      <w:sz w:val="24"/>
      <w:szCs w:val="20"/>
      <w:lang w:val="en-GB"/>
    </w:rPr>
  </w:style>
  <w:style w:type="character" w:customStyle="1" w:styleId="Heading6Char">
    <w:name w:val="Heading 6 Char"/>
    <w:aliases w:val="T1 Char,Header 6 Char"/>
    <w:basedOn w:val="DefaultParagraphFont"/>
    <w:link w:val="Heading6"/>
    <w:rsid w:val="007C6DB6"/>
    <w:rPr>
      <w:rFonts w:ascii="Arial" w:eastAsia="Arial" w:hAnsi="Arial" w:cs="Times New Roman"/>
      <w:sz w:val="20"/>
      <w:szCs w:val="20"/>
      <w:lang w:val="en-GB"/>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7C6DB6"/>
    <w:rPr>
      <w:rFonts w:ascii="Arial" w:eastAsia="Arial"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6D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C6DB6"/>
    <w:rPr>
      <w:rFonts w:ascii="Arial" w:eastAsia="Times New Roman" w:hAnsi="Arial" w:cs="Times New Roman"/>
      <w:b/>
      <w:noProof/>
      <w:sz w:val="18"/>
      <w:szCs w:val="20"/>
      <w:lang w:val="en-GB"/>
    </w:rPr>
  </w:style>
  <w:style w:type="paragraph" w:styleId="Footer">
    <w:name w:val="footer"/>
    <w:basedOn w:val="Header"/>
    <w:link w:val="FooterChar"/>
    <w:rsid w:val="007C6DB6"/>
    <w:pPr>
      <w:jc w:val="center"/>
    </w:pPr>
    <w:rPr>
      <w:i/>
    </w:rPr>
  </w:style>
  <w:style w:type="character" w:customStyle="1" w:styleId="FooterChar">
    <w:name w:val="Footer Char"/>
    <w:basedOn w:val="DefaultParagraphFont"/>
    <w:link w:val="Footer"/>
    <w:rsid w:val="007C6DB6"/>
    <w:rPr>
      <w:rFonts w:ascii="Arial" w:eastAsia="Times New Roman" w:hAnsi="Arial" w:cs="Times New Roman"/>
      <w:b/>
      <w:i/>
      <w:noProof/>
      <w:sz w:val="18"/>
      <w:szCs w:val="20"/>
      <w:lang w:val="en-GB"/>
    </w:rPr>
  </w:style>
  <w:style w:type="paragraph" w:customStyle="1" w:styleId="TAH">
    <w:name w:val="TAH"/>
    <w:basedOn w:val="TAC"/>
    <w:link w:val="TAHCar"/>
    <w:rsid w:val="007C6DB6"/>
    <w:rPr>
      <w:b/>
    </w:rPr>
  </w:style>
  <w:style w:type="paragraph" w:customStyle="1" w:styleId="TAC">
    <w:name w:val="TAC"/>
    <w:basedOn w:val="Normal"/>
    <w:link w:val="TACChar"/>
    <w:rsid w:val="007C6DB6"/>
    <w:pPr>
      <w:keepNext/>
      <w:keepLines/>
      <w:spacing w:after="0"/>
      <w:jc w:val="center"/>
    </w:pPr>
    <w:rPr>
      <w:rFonts w:ascii="Arial" w:hAnsi="Arial"/>
      <w:sz w:val="18"/>
    </w:rPr>
  </w:style>
  <w:style w:type="character" w:customStyle="1" w:styleId="TACChar">
    <w:name w:val="TAC Char"/>
    <w:basedOn w:val="DefaultParagraphFont"/>
    <w:link w:val="TAC"/>
    <w:rsid w:val="007C6DB6"/>
    <w:rPr>
      <w:rFonts w:ascii="Arial" w:eastAsia="Times New Roman" w:hAnsi="Arial" w:cs="Times New Roman"/>
      <w:sz w:val="18"/>
      <w:szCs w:val="20"/>
      <w:lang w:val="en-GB"/>
    </w:rPr>
  </w:style>
  <w:style w:type="paragraph" w:customStyle="1" w:styleId="TH">
    <w:name w:val="TH"/>
    <w:basedOn w:val="Normal"/>
    <w:link w:val="THChar"/>
    <w:rsid w:val="007C6DB6"/>
    <w:pPr>
      <w:keepNext/>
      <w:keepLines/>
      <w:spacing w:before="60"/>
      <w:jc w:val="center"/>
    </w:pPr>
    <w:rPr>
      <w:rFonts w:ascii="Arial" w:hAnsi="Arial"/>
      <w:b/>
    </w:rPr>
  </w:style>
  <w:style w:type="character" w:customStyle="1" w:styleId="THChar">
    <w:name w:val="TH Char"/>
    <w:basedOn w:val="DefaultParagraphFont"/>
    <w:link w:val="TH"/>
    <w:rsid w:val="007C6DB6"/>
    <w:rPr>
      <w:rFonts w:ascii="Arial" w:eastAsia="Times New Roman" w:hAnsi="Arial" w:cs="Times New Roman"/>
      <w:b/>
      <w:sz w:val="20"/>
      <w:szCs w:val="20"/>
      <w:lang w:val="en-GB"/>
    </w:rPr>
  </w:style>
  <w:style w:type="paragraph" w:styleId="Caption">
    <w:name w:val="caption"/>
    <w:aliases w:val="cap,cap Char,Caption Char,Caption Char1 Char,cap Char Char1,Caption Char Char1 Char,cap Char2 Char,Ca"/>
    <w:basedOn w:val="Normal"/>
    <w:next w:val="Normal"/>
    <w:link w:val="CaptionChar1"/>
    <w:qFormat/>
    <w:rsid w:val="007C6DB6"/>
    <w:pPr>
      <w:spacing w:before="120" w:after="120"/>
    </w:pPr>
    <w:rPr>
      <w:b/>
    </w:rPr>
  </w:style>
  <w:style w:type="paragraph" w:customStyle="1" w:styleId="a">
    <w:name w:val="样式 页眉"/>
    <w:basedOn w:val="Header"/>
    <w:link w:val="Char"/>
    <w:rsid w:val="007C6DB6"/>
    <w:rPr>
      <w:rFonts w:eastAsia="Arial"/>
      <w:bCs/>
    </w:rPr>
  </w:style>
  <w:style w:type="character" w:customStyle="1" w:styleId="Char">
    <w:name w:val="样式 页眉 Char"/>
    <w:basedOn w:val="HeaderChar"/>
    <w:link w:val="a"/>
    <w:rsid w:val="007C6DB6"/>
    <w:rPr>
      <w:rFonts w:ascii="Arial" w:eastAsia="Arial" w:hAnsi="Arial" w:cs="Times New Roman"/>
      <w:b/>
      <w:bCs/>
      <w:noProof/>
      <w:sz w:val="18"/>
      <w:szCs w:val="20"/>
      <w:lang w:val="en-GB"/>
    </w:rPr>
  </w:style>
  <w:style w:type="paragraph" w:customStyle="1" w:styleId="EX">
    <w:name w:val="EX"/>
    <w:basedOn w:val="Normal"/>
    <w:link w:val="EXChar"/>
    <w:rsid w:val="007C6DB6"/>
    <w:pPr>
      <w:keepLines/>
      <w:ind w:left="1702" w:hanging="1418"/>
    </w:pPr>
    <w:rPr>
      <w:rFonts w:eastAsia="SimSun"/>
      <w:lang w:eastAsia="ja-JP"/>
    </w:rPr>
  </w:style>
  <w:style w:type="character" w:customStyle="1" w:styleId="TAHCar">
    <w:name w:val="TAH Car"/>
    <w:basedOn w:val="DefaultParagraphFont"/>
    <w:link w:val="TAH"/>
    <w:rsid w:val="007C6DB6"/>
    <w:rPr>
      <w:rFonts w:ascii="Arial" w:eastAsia="Times New Roman" w:hAnsi="Arial" w:cs="Times New Roman"/>
      <w:b/>
      <w:sz w:val="18"/>
      <w:szCs w:val="20"/>
      <w:lang w:val="en-GB"/>
    </w:rPr>
  </w:style>
  <w:style w:type="paragraph" w:customStyle="1" w:styleId="CRCoverPage">
    <w:name w:val="CR Cover Page"/>
    <w:link w:val="CRCoverPageChar"/>
    <w:rsid w:val="007C6DB6"/>
    <w:pPr>
      <w:spacing w:after="120" w:line="240" w:lineRule="auto"/>
    </w:pPr>
    <w:rPr>
      <w:rFonts w:ascii="Arial" w:eastAsia="SimSun" w:hAnsi="Arial" w:cs="Times New Roman"/>
      <w:sz w:val="20"/>
      <w:szCs w:val="20"/>
      <w:lang w:val="en-GB"/>
    </w:rPr>
  </w:style>
  <w:style w:type="character" w:customStyle="1" w:styleId="CRCoverPageChar">
    <w:name w:val="CR Cover Page Char"/>
    <w:basedOn w:val="DefaultParagraphFont"/>
    <w:link w:val="CRCoverPage"/>
    <w:rsid w:val="007C6DB6"/>
    <w:rPr>
      <w:rFonts w:ascii="Arial" w:eastAsia="SimSun" w:hAnsi="Arial" w:cs="Times New Roman"/>
      <w:sz w:val="20"/>
      <w:szCs w:val="20"/>
      <w:lang w:val="en-GB"/>
    </w:rPr>
  </w:style>
  <w:style w:type="character" w:customStyle="1" w:styleId="EXChar">
    <w:name w:val="EX Char"/>
    <w:basedOn w:val="DefaultParagraphFont"/>
    <w:link w:val="EX"/>
    <w:rsid w:val="007C6DB6"/>
    <w:rPr>
      <w:rFonts w:ascii="Times New Roman" w:eastAsia="SimSun" w:hAnsi="Times New Roman" w:cs="Times New Roman"/>
      <w:sz w:val="20"/>
      <w:szCs w:val="20"/>
      <w:lang w:val="en-GB" w:eastAsia="ja-JP"/>
    </w:rPr>
  </w:style>
  <w:style w:type="paragraph" w:styleId="ListParagraph">
    <w:name w:val="List Paragraph"/>
    <w:basedOn w:val="Normal"/>
    <w:uiPriority w:val="34"/>
    <w:qFormat/>
    <w:rsid w:val="007C6DB6"/>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7C6DB6"/>
    <w:rPr>
      <w:rFonts w:ascii="Times New Roman" w:eastAsia="Times New Roman" w:hAnsi="Times New Roman"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H4P5ACNAWDMP-2-12779</_dlc_DocId>
    <_dlc_DocIdUrl xmlns="17c5c574-4f42-45b3-8a7f-77d8e859d074">
      <Url>https://projects.qualcomm.com/sites/LTED/_layouts/15/DocIdRedir.aspx?ID=H4P5ACNAWDMP-2-12779</Url>
      <Description>H4P5ACNAWDMP-2-12779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89683-083F-473B-8E0D-E5D1232AC6CC}">
  <ds:schemaRefs>
    <ds:schemaRef ds:uri="http://schemas.microsoft.com/sharepoint/events"/>
  </ds:schemaRefs>
</ds:datastoreItem>
</file>

<file path=customXml/itemProps2.xml><?xml version="1.0" encoding="utf-8"?>
<ds:datastoreItem xmlns:ds="http://schemas.openxmlformats.org/officeDocument/2006/customXml" ds:itemID="{BA367F94-C4EC-4885-913C-02BCB0AEB95B}">
  <ds:schemaRefs>
    <ds:schemaRef ds:uri="http://schemas.microsoft.com/sharepoint/v3/contenttype/forms"/>
  </ds:schemaRefs>
</ds:datastoreItem>
</file>

<file path=customXml/itemProps3.xml><?xml version="1.0" encoding="utf-8"?>
<ds:datastoreItem xmlns:ds="http://schemas.openxmlformats.org/officeDocument/2006/customXml" ds:itemID="{D3186873-2DC6-45E2-92B8-02655198E39D}">
  <ds:schemaRefs>
    <ds:schemaRef ds:uri="http://purl.org/dc/dcmitype/"/>
    <ds:schemaRef ds:uri="http://schemas.microsoft.com/office/2006/documentManagement/types"/>
    <ds:schemaRef ds:uri="http://purl.org/dc/terms/"/>
    <ds:schemaRef ds:uri="http://purl.org/dc/elements/1.1/"/>
    <ds:schemaRef ds:uri="http://schemas.openxmlformats.org/package/2006/metadata/core-properties"/>
    <ds:schemaRef ds:uri="66EEDB98-F073-460B-B9B0-9643F9FE785E"/>
    <ds:schemaRef ds:uri="http://schemas.microsoft.com/sharepoint/v3"/>
    <ds:schemaRef ds:uri="http://schemas.microsoft.com/sharepoint/v4"/>
    <ds:schemaRef ds:uri="http://schemas.microsoft.com/office/2006/metadata/properties"/>
    <ds:schemaRef ds:uri="http://schemas.microsoft.com/office/infopath/2007/PartnerControls"/>
    <ds:schemaRef ds:uri="17c5c574-4f42-45b3-8a7f-77d8e859d074"/>
    <ds:schemaRef ds:uri="http://www.w3.org/XML/1998/namespace"/>
  </ds:schemaRefs>
</ds:datastoreItem>
</file>

<file path=customXml/itemProps4.xml><?xml version="1.0" encoding="utf-8"?>
<ds:datastoreItem xmlns:ds="http://schemas.openxmlformats.org/officeDocument/2006/customXml" ds:itemID="{7AA43FDA-B5EF-4E63-8330-F4C1A2F5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2</cp:revision>
  <dcterms:created xsi:type="dcterms:W3CDTF">2016-09-30T21:24:00Z</dcterms:created>
  <dcterms:modified xsi:type="dcterms:W3CDTF">2016-09-30T21:24:00Z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d64a8c87-ffe2-4dbf-9486-e83ea79f6eb4</vt:lpwstr>
  </property>
</Properties>
</file>